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jc w:val="center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9 Month visit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Today’s measurements: Height __________ Weight _____________, HC ______________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Vaccines: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Hepatitis B, Polio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167.99999999999997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Development: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Repeats syllables (da-da, ba-ba)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Waves or claps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Sits without support/ gets to sitting position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Pulls to stand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Immature pincer grasp/ rakes food towards themselves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May show signs of separation anxiety or fear of strangers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Enjoys peek-a-boo/ looks for objects when dropped out of site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Begins to look when you call their name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167.99999999999997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Sleep: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May wake more due to sleep cycles and separation anxiety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Maintain sleep routine and allow/encourage child to fall back asleep on their own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167.99999999999997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Safety: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Childproofing is essential!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Watch for small items that baby may put in his or her mouth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Baby gates for stairs, cover electric outlets, keep medication and cleaning supplies in locked or high cupboard, window guards, cabinets and dressers should be mounted/ tethered to the wall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DO NOT use walkers, push toys are ok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Never leave a baby on a high surface (changing table, bed, couch…) even for “a second”. Nine month olds can move and often fall.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Block cords attached to heavy objects that can be pulled down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167.99999999999997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Solids: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Offer 3 meals per day and 16- 24 oz of breastmilk or formula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Start finger foods/table foods; the size of a pea or cheerio and easily compressible with gums. Grapes and blueberries should be diced/smashed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Babies and children may need 10-15 offerings of a food before accepting it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Juice is not necessary or recommended, offer water instead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Next visit in 3 month (at 1 year old)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5943600" cy="1371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371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